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D9709A" w14:textId="15C1D786" w:rsidR="00034BA5" w:rsidRPr="00034BA5" w:rsidRDefault="00034BA5" w:rsidP="00034BA5">
      <w:pPr>
        <w:jc w:val="center"/>
        <w:rPr>
          <w:rFonts w:ascii="華康粗圓體" w:eastAsia="華康粗圓體" w:hAnsi="華康粗圓體"/>
          <w:sz w:val="32"/>
          <w:szCs w:val="32"/>
        </w:rPr>
      </w:pPr>
      <w:r w:rsidRPr="00034BA5">
        <w:rPr>
          <w:rFonts w:ascii="華康粗圓體" w:eastAsia="華康粗圓體" w:hAnsi="華康粗圓體" w:hint="eastAsia"/>
          <w:sz w:val="32"/>
          <w:szCs w:val="32"/>
        </w:rPr>
        <w:t>3</w:t>
      </w:r>
      <w:r w:rsidR="000F2EE4">
        <w:rPr>
          <w:rFonts w:ascii="華康粗圓體" w:eastAsia="華康粗圓體" w:hAnsi="華康粗圓體" w:hint="eastAsia"/>
          <w:sz w:val="32"/>
          <w:szCs w:val="32"/>
        </w:rPr>
        <w:t>5</w:t>
      </w:r>
      <w:r w:rsidRPr="00034BA5">
        <w:rPr>
          <w:rFonts w:ascii="華康粗圓體" w:eastAsia="華康粗圓體" w:hAnsi="華康粗圓體" w:hint="eastAsia"/>
          <w:sz w:val="32"/>
          <w:szCs w:val="32"/>
        </w:rPr>
        <w:t>.</w:t>
      </w:r>
      <w:r w:rsidRPr="00034BA5">
        <w:rPr>
          <w:rFonts w:ascii="華康粗圓體" w:eastAsia="華康粗圓體" w:hAnsi="華康粗圓體"/>
          <w:sz w:val="32"/>
          <w:szCs w:val="32"/>
        </w:rPr>
        <w:t>由屢用雞籠當地名說明台灣曾是世界邦聯的營運中心</w:t>
      </w:r>
    </w:p>
    <w:p w14:paraId="17B34BE8" w14:textId="2833FC39" w:rsidR="00976ED7" w:rsidRPr="00976ED7" w:rsidRDefault="00976ED7" w:rsidP="00976ED7">
      <w:pPr>
        <w:rPr>
          <w:rFonts w:ascii="華康細明體" w:eastAsia="華康細明體" w:hAnsi="華康細明體"/>
          <w:sz w:val="24"/>
          <w:szCs w:val="24"/>
        </w:rPr>
      </w:pPr>
      <w:r w:rsidRPr="00976ED7">
        <w:rPr>
          <w:rFonts w:ascii="華康細明體" w:eastAsia="華康細明體" w:hAnsi="華康細明體" w:hint="eastAsia"/>
          <w:sz w:val="24"/>
          <w:szCs w:val="24"/>
        </w:rPr>
        <w:t>凱達格蘭族母語「台灣」稱為「大惠宛」，其義為</w:t>
      </w:r>
      <w:proofErr w:type="gramStart"/>
      <w:r w:rsidRPr="00976ED7">
        <w:rPr>
          <w:rFonts w:ascii="華康細明體" w:eastAsia="華康細明體" w:hAnsi="華康細明體" w:hint="eastAsia"/>
          <w:sz w:val="24"/>
          <w:szCs w:val="24"/>
        </w:rPr>
        <w:t>幃幄</w:t>
      </w:r>
      <w:proofErr w:type="gramEnd"/>
      <w:r w:rsidRPr="00976ED7">
        <w:rPr>
          <w:rFonts w:ascii="華康細明體" w:eastAsia="華康細明體" w:hAnsi="華康細明體" w:hint="eastAsia"/>
          <w:sz w:val="24"/>
          <w:szCs w:val="24"/>
        </w:rPr>
        <w:t>中心，即營運中心。凱達格蘭族人自稱台灣為世界</w:t>
      </w:r>
      <w:proofErr w:type="gramStart"/>
      <w:r w:rsidRPr="00976ED7">
        <w:rPr>
          <w:rFonts w:ascii="華康細明體" w:eastAsia="華康細明體" w:hAnsi="華康細明體" w:hint="eastAsia"/>
          <w:sz w:val="24"/>
          <w:szCs w:val="24"/>
        </w:rPr>
        <w:t>各邦聯</w:t>
      </w:r>
      <w:proofErr w:type="gramEnd"/>
      <w:r w:rsidRPr="00976ED7">
        <w:rPr>
          <w:rFonts w:ascii="華康細明體" w:eastAsia="華康細明體" w:hAnsi="華康細明體" w:hint="eastAsia"/>
          <w:sz w:val="24"/>
          <w:szCs w:val="24"/>
        </w:rPr>
        <w:t>的「營運中心」。凱達格蘭族的「格蘭」一詞其義為「連結」，現代語稱為「邦聯」之意。為表示世界各地同為有來往的邦聯之地。包括中國、東南亞、大洋洲和美洲等地。「格蘭」土著語音為「雞籠」，拉丁語音為「</w:t>
      </w:r>
      <w:proofErr w:type="gramStart"/>
      <w:r w:rsidRPr="00976ED7">
        <w:rPr>
          <w:rFonts w:ascii="華康細明體" w:eastAsia="華康細明體" w:hAnsi="華康細明體" w:hint="eastAsia"/>
          <w:sz w:val="24"/>
          <w:szCs w:val="24"/>
        </w:rPr>
        <w:t>圭</w:t>
      </w:r>
      <w:proofErr w:type="gramEnd"/>
      <w:r w:rsidRPr="00976ED7">
        <w:rPr>
          <w:rFonts w:ascii="華康細明體" w:eastAsia="華康細明體" w:hAnsi="華康細明體" w:hint="eastAsia"/>
          <w:sz w:val="24"/>
          <w:szCs w:val="24"/>
        </w:rPr>
        <w:t>籠」。台灣原住民與荷蘭簽訂的「</w:t>
      </w:r>
      <w:proofErr w:type="gramStart"/>
      <w:r w:rsidRPr="00976ED7">
        <w:rPr>
          <w:rFonts w:ascii="華康細明體" w:eastAsia="華康細明體" w:hAnsi="華康細明體" w:hint="eastAsia"/>
          <w:sz w:val="24"/>
          <w:szCs w:val="24"/>
        </w:rPr>
        <w:t>圭</w:t>
      </w:r>
      <w:proofErr w:type="gramEnd"/>
      <w:r w:rsidRPr="00976ED7">
        <w:rPr>
          <w:rFonts w:ascii="華康細明體" w:eastAsia="華康細明體" w:hAnsi="華康細明體" w:hint="eastAsia"/>
          <w:sz w:val="24"/>
          <w:szCs w:val="24"/>
        </w:rPr>
        <w:t>籠合約」，就是邦聯合約。中國以「雞籠」為地名者甚多，有二十餘處，包括台灣的基隆、圓山的雞南山，還有馬來西亞的吉隆坡等，上述雞籠、基隆、圭籠、</w:t>
      </w:r>
      <w:proofErr w:type="gramStart"/>
      <w:r w:rsidRPr="00976ED7">
        <w:rPr>
          <w:rFonts w:ascii="華康細明體" w:eastAsia="華康細明體" w:hAnsi="華康細明體" w:hint="eastAsia"/>
          <w:sz w:val="24"/>
          <w:szCs w:val="24"/>
        </w:rPr>
        <w:t>雞南</w:t>
      </w:r>
      <w:proofErr w:type="gramEnd"/>
      <w:r w:rsidRPr="00976ED7">
        <w:rPr>
          <w:rFonts w:ascii="華康細明體" w:eastAsia="華康細明體" w:hAnsi="華康細明體" w:hint="eastAsia"/>
          <w:sz w:val="24"/>
          <w:szCs w:val="24"/>
        </w:rPr>
        <w:t>、吉隆等，就是「格蘭」的同音字，而以其「格蘭」的原住民語音命名，其義為各地同為互有交流的「邦聯」之地</w:t>
      </w:r>
      <w:r w:rsidRPr="00976ED7">
        <w:rPr>
          <w:rFonts w:ascii="華康細明體" w:eastAsia="華康細明體" w:hAnsi="華康細明體"/>
          <w:sz w:val="24"/>
          <w:szCs w:val="24"/>
        </w:rPr>
        <w:t xml:space="preserve"> 。</w:t>
      </w:r>
    </w:p>
    <w:p w14:paraId="63D70F23" w14:textId="52602732" w:rsidR="00DA5D5F" w:rsidRPr="00976ED7" w:rsidRDefault="00976ED7" w:rsidP="00DA5D5F">
      <w:pPr>
        <w:rPr>
          <w:rFonts w:ascii="華康細明體" w:eastAsia="華康細明體" w:hAnsi="華康細明體"/>
          <w:sz w:val="24"/>
          <w:szCs w:val="24"/>
        </w:rPr>
      </w:pPr>
      <w:r w:rsidRPr="00976ED7">
        <w:rPr>
          <w:rFonts w:ascii="華康細明體" w:eastAsia="華康細明體" w:hAnsi="華康細明體" w:hint="eastAsia"/>
          <w:sz w:val="24"/>
          <w:szCs w:val="24"/>
        </w:rPr>
        <w:t>台灣在六百五十年以前，</w:t>
      </w:r>
      <w:proofErr w:type="gramStart"/>
      <w:r w:rsidRPr="00976ED7">
        <w:rPr>
          <w:rFonts w:ascii="華康細明體" w:eastAsia="華康細明體" w:hAnsi="華康細明體" w:hint="eastAsia"/>
          <w:sz w:val="24"/>
          <w:szCs w:val="24"/>
        </w:rPr>
        <w:t>即鄭和</w:t>
      </w:r>
      <w:proofErr w:type="gramEnd"/>
      <w:r w:rsidRPr="00976ED7">
        <w:rPr>
          <w:rFonts w:ascii="華康細明體" w:eastAsia="華康細明體" w:hAnsi="華康細明體" w:hint="eastAsia"/>
          <w:sz w:val="24"/>
          <w:szCs w:val="24"/>
        </w:rPr>
        <w:t>下西洋以前，曾是氣候溫暖、土地肥沃、物產豐富、工業發達、</w:t>
      </w:r>
      <w:proofErr w:type="gramStart"/>
      <w:r w:rsidRPr="00976ED7">
        <w:rPr>
          <w:rFonts w:ascii="華康細明體" w:eastAsia="華康細明體" w:hAnsi="華康細明體" w:hint="eastAsia"/>
          <w:sz w:val="24"/>
          <w:szCs w:val="24"/>
        </w:rPr>
        <w:t>人民知禮守法</w:t>
      </w:r>
      <w:proofErr w:type="gramEnd"/>
      <w:r w:rsidRPr="00976ED7">
        <w:rPr>
          <w:rFonts w:ascii="華康細明體" w:eastAsia="華康細明體" w:hAnsi="華康細明體" w:hint="eastAsia"/>
          <w:sz w:val="24"/>
          <w:szCs w:val="24"/>
        </w:rPr>
        <w:t>的國度，可以與鄰近各國，包括中國，甚至歐洲的商人建立互信，簽署邦聯和約，而自稱</w:t>
      </w:r>
      <w:proofErr w:type="gramStart"/>
      <w:r w:rsidRPr="00976ED7">
        <w:rPr>
          <w:rFonts w:ascii="華康細明體" w:eastAsia="華康細明體" w:hAnsi="華康細明體" w:hint="eastAsia"/>
          <w:sz w:val="24"/>
          <w:szCs w:val="24"/>
        </w:rPr>
        <w:t>為邦聯「幃幄</w:t>
      </w:r>
      <w:proofErr w:type="gramEnd"/>
      <w:r w:rsidRPr="00976ED7">
        <w:rPr>
          <w:rFonts w:ascii="華康細明體" w:eastAsia="華康細明體" w:hAnsi="華康細明體" w:hint="eastAsia"/>
          <w:sz w:val="24"/>
          <w:szCs w:val="24"/>
        </w:rPr>
        <w:t>中心」。倘若以「太陽帝國」曾在古台灣的立場來看，台灣在古代對全世界當然擁有「營運中心」的地位。七百年前，元朝汪大淵</w:t>
      </w:r>
      <w:proofErr w:type="gramStart"/>
      <w:r w:rsidRPr="00976ED7">
        <w:rPr>
          <w:rFonts w:ascii="華康細明體" w:eastAsia="華康細明體" w:hAnsi="華康細明體" w:hint="eastAsia"/>
          <w:sz w:val="24"/>
          <w:szCs w:val="24"/>
        </w:rPr>
        <w:t>所著</w:t>
      </w:r>
      <w:proofErr w:type="gramEnd"/>
      <w:r w:rsidRPr="00976ED7">
        <w:rPr>
          <w:rFonts w:ascii="華康細明體" w:eastAsia="華康細明體" w:hAnsi="華康細明體" w:hint="eastAsia"/>
          <w:sz w:val="24"/>
          <w:szCs w:val="24"/>
        </w:rPr>
        <w:t>《島夷誌略》</w:t>
      </w:r>
      <w:proofErr w:type="gramStart"/>
      <w:r w:rsidRPr="00976ED7">
        <w:rPr>
          <w:rFonts w:ascii="華康細明體" w:eastAsia="華康細明體" w:hAnsi="華康細明體" w:hint="eastAsia"/>
          <w:sz w:val="24"/>
          <w:szCs w:val="24"/>
        </w:rPr>
        <w:t>云</w:t>
      </w:r>
      <w:proofErr w:type="gramEnd"/>
      <w:r w:rsidRPr="00976ED7">
        <w:rPr>
          <w:rFonts w:ascii="華康細明體" w:eastAsia="華康細明體" w:hAnsi="華康細明體" w:hint="eastAsia"/>
          <w:sz w:val="24"/>
          <w:szCs w:val="24"/>
        </w:rPr>
        <w:t>：「</w:t>
      </w:r>
      <w:proofErr w:type="gramStart"/>
      <w:r w:rsidRPr="00976ED7">
        <w:rPr>
          <w:rFonts w:ascii="華康細明體" w:eastAsia="華康細明體" w:hAnsi="華康細明體" w:hint="eastAsia"/>
          <w:sz w:val="24"/>
          <w:szCs w:val="24"/>
        </w:rPr>
        <w:t>琉</w:t>
      </w:r>
      <w:proofErr w:type="gramEnd"/>
      <w:r w:rsidRPr="00976ED7">
        <w:rPr>
          <w:rFonts w:ascii="華康細明體" w:eastAsia="華康細明體" w:hAnsi="華康細明體" w:hint="eastAsia"/>
          <w:sz w:val="24"/>
          <w:szCs w:val="24"/>
        </w:rPr>
        <w:t>求</w:t>
      </w:r>
      <w:r w:rsidRPr="00976ED7">
        <w:rPr>
          <w:rFonts w:ascii="華康細明體" w:eastAsia="華康細明體" w:hAnsi="華康細明體"/>
          <w:sz w:val="24"/>
          <w:szCs w:val="24"/>
        </w:rPr>
        <w:t>(即台灣)，地勢盤</w:t>
      </w:r>
      <w:proofErr w:type="gramStart"/>
      <w:r w:rsidRPr="00976ED7">
        <w:rPr>
          <w:rFonts w:ascii="華康細明體" w:eastAsia="華康細明體" w:hAnsi="華康細明體"/>
          <w:sz w:val="24"/>
          <w:szCs w:val="24"/>
        </w:rPr>
        <w:t>穹</w:t>
      </w:r>
      <w:proofErr w:type="gramEnd"/>
      <w:r w:rsidRPr="00976ED7">
        <w:rPr>
          <w:rFonts w:ascii="華康細明體" w:eastAsia="華康細明體" w:hAnsi="華康細明體"/>
          <w:sz w:val="24"/>
          <w:szCs w:val="24"/>
        </w:rPr>
        <w:t>，…。地產沙</w:t>
      </w:r>
      <w:r w:rsidRPr="00976ED7">
        <w:rPr>
          <w:rFonts w:ascii="華康細明體" w:eastAsia="華康細明體" w:hAnsi="華康細明體" w:hint="eastAsia"/>
          <w:sz w:val="24"/>
          <w:szCs w:val="24"/>
        </w:rPr>
        <w:t>金、黃豆、黍子、</w:t>
      </w:r>
      <w:proofErr w:type="gramStart"/>
      <w:r w:rsidRPr="00976ED7">
        <w:rPr>
          <w:rFonts w:ascii="華康細明體" w:eastAsia="華康細明體" w:hAnsi="華康細明體" w:hint="eastAsia"/>
          <w:sz w:val="24"/>
          <w:szCs w:val="24"/>
        </w:rPr>
        <w:t>琉</w:t>
      </w:r>
      <w:proofErr w:type="gramEnd"/>
      <w:r w:rsidRPr="00976ED7">
        <w:rPr>
          <w:rFonts w:ascii="華康細明體" w:eastAsia="華康細明體" w:hAnsi="華康細明體" w:hint="eastAsia"/>
          <w:sz w:val="24"/>
          <w:szCs w:val="24"/>
        </w:rPr>
        <w:t>黃、黃臘、鹿、豹、麂皮。貿易之貨，</w:t>
      </w:r>
      <w:proofErr w:type="gramStart"/>
      <w:r w:rsidRPr="00976ED7">
        <w:rPr>
          <w:rFonts w:ascii="華康細明體" w:eastAsia="華康細明體" w:hAnsi="華康細明體" w:hint="eastAsia"/>
          <w:sz w:val="24"/>
          <w:szCs w:val="24"/>
        </w:rPr>
        <w:t>用土珠</w:t>
      </w:r>
      <w:proofErr w:type="gramEnd"/>
      <w:r w:rsidRPr="00976ED7">
        <w:rPr>
          <w:rFonts w:ascii="華康細明體" w:eastAsia="華康細明體" w:hAnsi="華康細明體" w:hint="eastAsia"/>
          <w:sz w:val="24"/>
          <w:szCs w:val="24"/>
        </w:rPr>
        <w:t>、瑪瑙、金珠、粗碗、</w:t>
      </w:r>
      <w:proofErr w:type="gramStart"/>
      <w:r w:rsidRPr="00976ED7">
        <w:rPr>
          <w:rFonts w:ascii="華康細明體" w:eastAsia="華康細明體" w:hAnsi="華康細明體" w:hint="eastAsia"/>
          <w:sz w:val="24"/>
          <w:szCs w:val="24"/>
        </w:rPr>
        <w:t>處州磁器</w:t>
      </w:r>
      <w:proofErr w:type="gramEnd"/>
      <w:r w:rsidRPr="00976ED7">
        <w:rPr>
          <w:rFonts w:ascii="華康細明體" w:eastAsia="華康細明體" w:hAnsi="華康細明體" w:hint="eastAsia"/>
          <w:sz w:val="24"/>
          <w:szCs w:val="24"/>
        </w:rPr>
        <w:t>之屬。境外諸國，蓋由此始。」</w:t>
      </w:r>
      <w:r w:rsidRPr="00976ED7">
        <w:rPr>
          <w:rFonts w:ascii="華康細明體" w:eastAsia="華康細明體" w:hAnsi="華康細明體"/>
          <w:sz w:val="24"/>
          <w:szCs w:val="24"/>
        </w:rPr>
        <w:t xml:space="preserve"> 「境外諸國，蓋由此始」說明元代以前，中國</w:t>
      </w:r>
      <w:r w:rsidRPr="00976ED7">
        <w:rPr>
          <w:rFonts w:ascii="華康細明體" w:eastAsia="華康細明體" w:hAnsi="華康細明體" w:hint="eastAsia"/>
          <w:sz w:val="24"/>
          <w:szCs w:val="24"/>
        </w:rPr>
        <w:t>與世界各地就有貿易往來，並且中國以台灣為第一大貿易國，做為台灣是世界</w:t>
      </w:r>
      <w:proofErr w:type="gramStart"/>
      <w:r w:rsidRPr="00976ED7">
        <w:rPr>
          <w:rFonts w:ascii="華康細明體" w:eastAsia="華康細明體" w:hAnsi="華康細明體" w:hint="eastAsia"/>
          <w:sz w:val="24"/>
          <w:szCs w:val="24"/>
        </w:rPr>
        <w:t>各邦聯</w:t>
      </w:r>
      <w:proofErr w:type="gramEnd"/>
      <w:r w:rsidRPr="00976ED7">
        <w:rPr>
          <w:rFonts w:ascii="華康細明體" w:eastAsia="華康細明體" w:hAnsi="華康細明體" w:hint="eastAsia"/>
          <w:sz w:val="24"/>
          <w:szCs w:val="24"/>
        </w:rPr>
        <w:t>「營運中心」的佐證。圭籠合約是國際外交文件，在十六世紀由台灣原住民族議會和荷蘭代表簽署。在「土地日」荷蘭總督依照圭籠合約與台灣原住民舉行宴會互相進行交誼。</w:t>
      </w:r>
      <w:r w:rsidR="00DA5D5F">
        <w:rPr>
          <w:rFonts w:ascii="華康細明體" w:eastAsia="華康細明體" w:hAnsi="華康細明體" w:hint="eastAsia"/>
          <w:sz w:val="24"/>
          <w:szCs w:val="24"/>
        </w:rPr>
        <w:t>圖為</w:t>
      </w:r>
      <w:r w:rsidR="00DA5D5F" w:rsidRPr="00976ED7">
        <w:rPr>
          <w:rFonts w:ascii="華康細明體" w:eastAsia="華康細明體" w:hAnsi="華康細明體" w:hint="eastAsia"/>
          <w:sz w:val="24"/>
          <w:szCs w:val="24"/>
        </w:rPr>
        <w:t>荷蘭總督依照圭籠合約與</w:t>
      </w:r>
      <w:r w:rsidR="00DA5D5F">
        <w:rPr>
          <w:rFonts w:ascii="華康細明體" w:eastAsia="華康細明體" w:hAnsi="華康細明體" w:hint="eastAsia"/>
          <w:sz w:val="24"/>
          <w:szCs w:val="24"/>
        </w:rPr>
        <w:t>台灣</w:t>
      </w:r>
      <w:r w:rsidR="00DA5D5F" w:rsidRPr="00976ED7">
        <w:rPr>
          <w:rFonts w:ascii="華康細明體" w:eastAsia="華康細明體" w:hAnsi="華康細明體" w:hint="eastAsia"/>
          <w:sz w:val="24"/>
          <w:szCs w:val="24"/>
        </w:rPr>
        <w:t>原住民交誼</w:t>
      </w:r>
      <w:r w:rsidR="00DA5D5F">
        <w:rPr>
          <w:rFonts w:ascii="華康細明體" w:eastAsia="華康細明體" w:hAnsi="華康細明體" w:hint="eastAsia"/>
          <w:sz w:val="24"/>
          <w:szCs w:val="24"/>
        </w:rPr>
        <w:t>會。</w:t>
      </w:r>
    </w:p>
    <w:p w14:paraId="3BA7AD63" w14:textId="43384828" w:rsidR="00976ED7" w:rsidRPr="00976ED7" w:rsidRDefault="00976ED7" w:rsidP="00976ED7">
      <w:pPr>
        <w:rPr>
          <w:rFonts w:ascii="華康細明體" w:eastAsia="華康細明體" w:hAnsi="華康細明體"/>
          <w:sz w:val="24"/>
          <w:szCs w:val="24"/>
        </w:rPr>
      </w:pPr>
      <w:r>
        <w:rPr>
          <w:rFonts w:ascii="華康細明體" w:eastAsia="華康細明體" w:hAnsi="華康細明體" w:hint="eastAsia"/>
          <w:noProof/>
          <w:sz w:val="24"/>
          <w:szCs w:val="24"/>
        </w:rPr>
        <w:drawing>
          <wp:inline distT="0" distB="0" distL="0" distR="0" wp14:anchorId="6134FFD8" wp14:editId="148A53BD">
            <wp:extent cx="6645910" cy="4109085"/>
            <wp:effectExtent l="19050" t="19050" r="21590" b="24765"/>
            <wp:docPr id="1" name="圖片 1" descr="一張含有 圖畫, 寫生, 文字, 兒童藝術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圖畫, 寫生, 文字, 兒童藝術 的圖片&#10;&#10;自動產生的描述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090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2AAF30" w14:textId="77777777" w:rsidR="00DA5D5F" w:rsidRPr="00976ED7" w:rsidRDefault="00DA5D5F">
      <w:pPr>
        <w:rPr>
          <w:rFonts w:ascii="華康細明體" w:eastAsia="華康細明體" w:hAnsi="華康細明體"/>
          <w:sz w:val="24"/>
          <w:szCs w:val="24"/>
        </w:rPr>
      </w:pPr>
    </w:p>
    <w:sectPr w:rsidR="00DA5D5F" w:rsidRPr="00976ED7" w:rsidSect="00976ED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146DE" w14:textId="77777777" w:rsidR="002029FB" w:rsidRDefault="002029FB" w:rsidP="00034BA5">
      <w:r>
        <w:separator/>
      </w:r>
    </w:p>
  </w:endnote>
  <w:endnote w:type="continuationSeparator" w:id="0">
    <w:p w14:paraId="264BECA6" w14:textId="77777777" w:rsidR="002029FB" w:rsidRDefault="002029FB" w:rsidP="00034B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標楷體">
    <w:panose1 w:val="03000509000000000000"/>
    <w:charset w:val="88"/>
    <w:family w:val="script"/>
    <w:pitch w:val="fixed"/>
    <w:sig w:usb0="A00002FF" w:usb1="38CFFDFA" w:usb2="00000016" w:usb3="00000000" w:csb0="0016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華康標楷體(P)">
    <w:panose1 w:val="03000500000000000000"/>
    <w:charset w:val="88"/>
    <w:family w:val="script"/>
    <w:pitch w:val="variable"/>
    <w:sig w:usb0="A00002FF" w:usb1="38CFFDFA" w:usb2="00000016" w:usb3="00000000" w:csb0="00160001" w:csb1="00000000"/>
  </w:font>
  <w:font w:name="華康粗圓體">
    <w:panose1 w:val="020F0709000000000000"/>
    <w:charset w:val="88"/>
    <w:family w:val="modern"/>
    <w:pitch w:val="fixed"/>
    <w:sig w:usb0="A00002FF" w:usb1="38CFFDFA" w:usb2="00000016" w:usb3="00000000" w:csb0="00100001" w:csb1="00000000"/>
  </w:font>
  <w:font w:name="華康細明體">
    <w:panose1 w:val="02020309000000000000"/>
    <w:charset w:val="88"/>
    <w:family w:val="modern"/>
    <w:pitch w:val="fixed"/>
    <w:sig w:usb0="A00002FF" w:usb1="38CFFDFA" w:usb2="00000016" w:usb3="00000000" w:csb0="0016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485F5" w14:textId="77777777" w:rsidR="002029FB" w:rsidRDefault="002029FB" w:rsidP="00034BA5">
      <w:r>
        <w:separator/>
      </w:r>
    </w:p>
  </w:footnote>
  <w:footnote w:type="continuationSeparator" w:id="0">
    <w:p w14:paraId="0E1BC1A2" w14:textId="77777777" w:rsidR="002029FB" w:rsidRDefault="002029FB" w:rsidP="00034B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1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ED7"/>
    <w:rsid w:val="00034BA5"/>
    <w:rsid w:val="00071513"/>
    <w:rsid w:val="00086663"/>
    <w:rsid w:val="00091BF3"/>
    <w:rsid w:val="000A0D7A"/>
    <w:rsid w:val="000B50DE"/>
    <w:rsid w:val="000D7B41"/>
    <w:rsid w:val="000F1688"/>
    <w:rsid w:val="000F2EE4"/>
    <w:rsid w:val="00113858"/>
    <w:rsid w:val="001372AC"/>
    <w:rsid w:val="001566E7"/>
    <w:rsid w:val="00162E07"/>
    <w:rsid w:val="001A45D6"/>
    <w:rsid w:val="001B5623"/>
    <w:rsid w:val="001E7789"/>
    <w:rsid w:val="001F0CB1"/>
    <w:rsid w:val="002029FB"/>
    <w:rsid w:val="00240BBF"/>
    <w:rsid w:val="002604A8"/>
    <w:rsid w:val="002B3432"/>
    <w:rsid w:val="002D48D3"/>
    <w:rsid w:val="002E6423"/>
    <w:rsid w:val="003536D1"/>
    <w:rsid w:val="00380854"/>
    <w:rsid w:val="003B3659"/>
    <w:rsid w:val="0040510B"/>
    <w:rsid w:val="00405D47"/>
    <w:rsid w:val="00426428"/>
    <w:rsid w:val="0043752E"/>
    <w:rsid w:val="0044057D"/>
    <w:rsid w:val="00441269"/>
    <w:rsid w:val="00482F82"/>
    <w:rsid w:val="004D4BDB"/>
    <w:rsid w:val="004F2F31"/>
    <w:rsid w:val="00526F63"/>
    <w:rsid w:val="00532C7D"/>
    <w:rsid w:val="00550BE0"/>
    <w:rsid w:val="00550ED1"/>
    <w:rsid w:val="005D1AE4"/>
    <w:rsid w:val="006849A9"/>
    <w:rsid w:val="00687EF9"/>
    <w:rsid w:val="00797EF4"/>
    <w:rsid w:val="008109CC"/>
    <w:rsid w:val="00814C9B"/>
    <w:rsid w:val="008D7BDC"/>
    <w:rsid w:val="008E3D60"/>
    <w:rsid w:val="009256BF"/>
    <w:rsid w:val="00962586"/>
    <w:rsid w:val="00976ED7"/>
    <w:rsid w:val="009B1DF7"/>
    <w:rsid w:val="00A817B6"/>
    <w:rsid w:val="00A94E82"/>
    <w:rsid w:val="00AD6F23"/>
    <w:rsid w:val="00B71F2E"/>
    <w:rsid w:val="00B954E8"/>
    <w:rsid w:val="00BC3A7A"/>
    <w:rsid w:val="00C02964"/>
    <w:rsid w:val="00C45D5C"/>
    <w:rsid w:val="00C5343E"/>
    <w:rsid w:val="00C54DE9"/>
    <w:rsid w:val="00C8611B"/>
    <w:rsid w:val="00CA4100"/>
    <w:rsid w:val="00CB2097"/>
    <w:rsid w:val="00CC79AC"/>
    <w:rsid w:val="00D375DE"/>
    <w:rsid w:val="00D81674"/>
    <w:rsid w:val="00DA5D5F"/>
    <w:rsid w:val="00DC56BD"/>
    <w:rsid w:val="00DF756F"/>
    <w:rsid w:val="00E674CE"/>
    <w:rsid w:val="00EE46AA"/>
    <w:rsid w:val="00EF4455"/>
    <w:rsid w:val="00F443C9"/>
    <w:rsid w:val="00F65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D9CE84"/>
  <w15:chartTrackingRefBased/>
  <w15:docId w15:val="{7C25D26D-E37E-4C36-ABCC-EA02FBD4F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AD6F23"/>
    <w:rPr>
      <w:rFonts w:ascii="華康標楷體" w:eastAsia="華康標楷體" w:hAnsi="華康標楷體" w:cs="華康標楷體"/>
    </w:rPr>
  </w:style>
  <w:style w:type="paragraph" w:styleId="1">
    <w:name w:val="heading 1"/>
    <w:basedOn w:val="a"/>
    <w:link w:val="10"/>
    <w:uiPriority w:val="1"/>
    <w:qFormat/>
    <w:rsid w:val="00AD6F23"/>
    <w:pPr>
      <w:ind w:right="449"/>
      <w:jc w:val="center"/>
      <w:outlineLvl w:val="0"/>
    </w:pPr>
    <w:rPr>
      <w:rFonts w:ascii="SimSun" w:eastAsia="SimSun" w:hAnsi="SimSun" w:cs="SimSun"/>
      <w:sz w:val="48"/>
      <w:szCs w:val="48"/>
    </w:rPr>
  </w:style>
  <w:style w:type="paragraph" w:styleId="2">
    <w:name w:val="heading 2"/>
    <w:basedOn w:val="a"/>
    <w:link w:val="20"/>
    <w:uiPriority w:val="1"/>
    <w:qFormat/>
    <w:rsid w:val="00AD6F23"/>
    <w:pPr>
      <w:ind w:left="926"/>
      <w:outlineLvl w:val="1"/>
    </w:pPr>
    <w:rPr>
      <w:rFonts w:ascii="華康標楷體(P)" w:eastAsia="華康標楷體(P)" w:hAnsi="華康標楷體(P)" w:cs="華康標楷體(P)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81674"/>
    <w:rPr>
      <w:rFonts w:ascii="華康標楷體" w:eastAsia="華康標楷體" w:hAnsi="華康標楷體" w:cs="華康標楷體"/>
    </w:rPr>
  </w:style>
  <w:style w:type="paragraph" w:customStyle="1" w:styleId="TableParagraph">
    <w:name w:val="Table Paragraph"/>
    <w:basedOn w:val="a"/>
    <w:uiPriority w:val="1"/>
    <w:qFormat/>
    <w:rsid w:val="00AD6F23"/>
    <w:pPr>
      <w:spacing w:before="32"/>
    </w:pPr>
  </w:style>
  <w:style w:type="character" w:customStyle="1" w:styleId="10">
    <w:name w:val="標題 1 字元"/>
    <w:basedOn w:val="a0"/>
    <w:link w:val="1"/>
    <w:uiPriority w:val="1"/>
    <w:rsid w:val="00AD6F23"/>
    <w:rPr>
      <w:rFonts w:ascii="SimSun" w:eastAsia="SimSun" w:hAnsi="SimSun" w:cs="SimSun"/>
      <w:sz w:val="48"/>
      <w:szCs w:val="48"/>
    </w:rPr>
  </w:style>
  <w:style w:type="character" w:customStyle="1" w:styleId="20">
    <w:name w:val="標題 2 字元"/>
    <w:basedOn w:val="a0"/>
    <w:link w:val="2"/>
    <w:uiPriority w:val="1"/>
    <w:rsid w:val="00AD6F23"/>
    <w:rPr>
      <w:rFonts w:ascii="華康標楷體(P)" w:eastAsia="華康標楷體(P)" w:hAnsi="華康標楷體(P)" w:cs="華康標楷體(P)"/>
      <w:sz w:val="28"/>
      <w:szCs w:val="28"/>
    </w:rPr>
  </w:style>
  <w:style w:type="paragraph" w:styleId="a4">
    <w:name w:val="Body Text"/>
    <w:basedOn w:val="a"/>
    <w:link w:val="a5"/>
    <w:qFormat/>
    <w:rsid w:val="00AD6F23"/>
    <w:rPr>
      <w:sz w:val="24"/>
      <w:szCs w:val="24"/>
    </w:rPr>
  </w:style>
  <w:style w:type="character" w:customStyle="1" w:styleId="a5">
    <w:name w:val="本文 字元"/>
    <w:basedOn w:val="a0"/>
    <w:link w:val="a4"/>
    <w:rsid w:val="00AD6F23"/>
    <w:rPr>
      <w:rFonts w:ascii="華康標楷體" w:eastAsia="華康標楷體" w:hAnsi="華康標楷體" w:cs="華康標楷體"/>
      <w:sz w:val="24"/>
      <w:szCs w:val="24"/>
    </w:rPr>
  </w:style>
  <w:style w:type="paragraph" w:styleId="a6">
    <w:name w:val="List Paragraph"/>
    <w:basedOn w:val="a"/>
    <w:uiPriority w:val="1"/>
    <w:qFormat/>
    <w:rsid w:val="00AD6F23"/>
    <w:pPr>
      <w:spacing w:before="65"/>
      <w:ind w:left="1690" w:hanging="242"/>
    </w:pPr>
  </w:style>
  <w:style w:type="paragraph" w:styleId="a7">
    <w:name w:val="header"/>
    <w:basedOn w:val="a"/>
    <w:link w:val="a8"/>
    <w:uiPriority w:val="99"/>
    <w:unhideWhenUsed/>
    <w:rsid w:val="00034B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034BA5"/>
    <w:rPr>
      <w:rFonts w:ascii="華康標楷體" w:eastAsia="華康標楷體" w:hAnsi="華康標楷體" w:cs="華康標楷體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034B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034BA5"/>
    <w:rPr>
      <w:rFonts w:ascii="華康標楷體" w:eastAsia="華康標楷體" w:hAnsi="華康標楷體" w:cs="華康標楷體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DBF927-F75F-4D2C-8FD6-575FAD978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106</Words>
  <Characters>605</Characters>
  <Application>Microsoft Office Word</Application>
  <DocSecurity>0</DocSecurity>
  <Lines>5</Lines>
  <Paragraphs>1</Paragraphs>
  <ScaleCrop>false</ScaleCrop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newidea Ho</dc:creator>
  <cp:keywords/>
  <dc:description/>
  <cp:lastModifiedBy>newidea Ho</cp:lastModifiedBy>
  <cp:revision>4</cp:revision>
  <dcterms:created xsi:type="dcterms:W3CDTF">2024-08-28T14:04:00Z</dcterms:created>
  <dcterms:modified xsi:type="dcterms:W3CDTF">2024-08-29T08:18:00Z</dcterms:modified>
</cp:coreProperties>
</file>